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6"/>
        <w:gridCol w:w="8568"/>
      </w:tblGrid>
      <w:tr>
        <w:tc>
          <w:tcPr>
            <w:tcW w:type="dxa" w:w="1656"/>
            <w:tcMar>
              <w:top w:w="0" w:type="dxa"/>
              <w:start w:w="0" w:type="dxa"/>
              <w:bottom w:w="0" w:type="dxa"/>
              <w:end w:w="80" w:type="dxa"/>
            </w:tcMar>
          </w:tcPr>
          <w:p>
            <w:pPr>
              <w:jc w:val="center"/>
            </w:pPr>
            <w:r>
              <w:drawing>
                <wp:inline xmlns:a="http://schemas.openxmlformats.org/drawingml/2006/main" xmlns:pic="http://schemas.openxmlformats.org/drawingml/2006/picture">
                  <wp:extent cx="868680" cy="765494"/>
                  <wp:docPr id="1" name="Picture 1"/>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868680" cy="765494"/>
                          </a:xfrm>
                          <a:prstGeom prst="rect"/>
                        </pic:spPr>
                      </pic:pic>
                    </a:graphicData>
                  </a:graphic>
                </wp:inline>
              </w:drawing>
            </w:r>
          </w:p>
        </w:tc>
        <w:tc>
          <w:tcPr>
            <w:tcW w:type="dxa" w:w="8568"/>
            <w:tcMar>
              <w:top w:w="0" w:type="dxa"/>
              <w:start w:w="80" w:type="dxa"/>
              <w:bottom w:w="0" w:type="dxa"/>
              <w:end w:w="0" w:type="dxa"/>
            </w:tcMar>
          </w:tcPr>
          <w:p>
            <w:pPr>
              <w:spacing w:after="20"/>
              <w:jc w:val="left"/>
            </w:pPr>
            <w:r>
              <w:rPr>
                <w:b/>
                <w:color w:val="50594A"/>
                <w:sz w:val="26"/>
              </w:rPr>
              <w:t>CYNTHIA HAMILL, LPC-S</w:t>
            </w:r>
          </w:p>
          <w:p>
            <w:pPr>
              <w:spacing w:after="0"/>
            </w:pPr>
            <w:r>
              <w:rPr>
                <w:color w:val="333333"/>
                <w:sz w:val="17"/>
              </w:rPr>
              <w:t>Certified Clinical Trauma Professional (CCTP) • Autism Spectrum Disorder Clinical Specialist (ASDCS)</w:t>
            </w:r>
          </w:p>
          <w:p>
            <w:pPr>
              <w:spacing w:after="0"/>
            </w:pPr>
            <w:r>
              <w:rPr>
                <w:color w:val="333333"/>
                <w:sz w:val="17"/>
              </w:rPr>
              <w:t>Oklahoma Approved LPC Supervisor</w:t>
            </w:r>
          </w:p>
          <w:p>
            <w:pPr>
              <w:spacing w:after="0"/>
            </w:pPr>
            <w:r>
              <w:rPr>
                <w:color w:val="333333"/>
                <w:sz w:val="17"/>
              </w:rPr>
              <w:t>(539) 302-3946 • hamillcynthia2@gmail.com</w:t>
            </w:r>
          </w:p>
          <w:p>
            <w:pPr>
              <w:spacing w:after="0"/>
            </w:pPr>
            <w:hyperlink r:id="rId11">
              <w:r>
                <w:rPr>
                  <w:color w:val="C78E74"/>
                  <w:u w:val="single"/>
                  <w:sz w:val="18"/>
                </w:rPr>
                <w:t>cynthiahamillcounseling.com</w:t>
              </w:r>
            </w:hyperlink>
          </w:p>
        </w:tc>
      </w:tr>
    </w:tbl>
    <w:p>
      <w:pPr>
        <w:spacing w:before="20" w:after="100"/>
        <w:pBdr>
          <w:bottom w:val="single" w:sz="10" w:space="4" w:color="C78E74"/>
        </w:pBdr>
      </w:pPr>
    </w:p>
    <w:p>
      <w:pPr>
        <w:spacing w:after="40"/>
        <w:jc w:val="center"/>
      </w:pPr>
      <w:r>
        <w:rPr>
          <w:b/>
          <w:color w:val="50594A"/>
          <w:sz w:val="44"/>
        </w:rPr>
        <w:t>Understanding the Anxiety Cycle</w:t>
      </w:r>
    </w:p>
    <w:p>
      <w:pPr>
        <w:spacing w:after="160"/>
        <w:jc w:val="center"/>
      </w:pPr>
      <w:r>
        <w:rPr>
          <w:i/>
          <w:color w:val="C78E74"/>
          <w:sz w:val="22"/>
        </w:rPr>
        <w:t>An ABC Worksheet</w:t>
      </w:r>
    </w:p>
    <w:p>
      <w:pPr>
        <w:spacing w:after="120"/>
      </w:pPr>
      <w:r>
        <w:rPr>
          <w:b/>
        </w:rPr>
        <w:t xml:space="preserve">Anxiety can happen quickly. </w:t>
      </w:r>
      <w:r>
        <w:t>Something occurs, our mind interprets what it means, and our body and emotions may react before we have had much time to think about what is happening. The ABC model is a cognitive behavioral therapy (CBT) tool that can help slow this process down and make the pieces easier to notice.</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F5F3EF"/>
            <w:tcMar>
              <w:top w:w="100" w:type="dxa"/>
              <w:start w:w="140" w:type="dxa"/>
              <w:bottom w:w="100" w:type="dxa"/>
              <w:end w:w="140" w:type="dxa"/>
            </w:tcMar>
          </w:tcPr>
          <w:p>
            <w:pPr>
              <w:jc w:val="center"/>
            </w:pPr>
            <w:r>
              <w:rPr>
                <w:b/>
                <w:color w:val="C78E74"/>
              </w:rPr>
              <w:t>The goal is not to force yourself to “think positively.”</w:t>
            </w:r>
            <w:r>
              <w:t xml:space="preserve"> The goal is to notice what happened, identify what your mind told you about it, recognize how that interpretation affected you, and consider whether there are other ways of understanding the situation.</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91"/>
        <w:gridCol w:w="9576"/>
      </w:tblGrid>
      <w:tr>
        <w:tc>
          <w:tcPr>
            <w:tcW w:type="dxa" w:w="5227"/>
            <w:shd w:fill="50594A"/>
            <w:tcMar>
              <w:top w:w="70" w:type="dxa"/>
              <w:start w:w="70" w:type="dxa"/>
              <w:bottom w:w="70" w:type="dxa"/>
              <w:end w:w="70" w:type="dxa"/>
            </w:tcMar>
          </w:tcPr>
          <w:p>
            <w:pPr>
              <w:jc w:val="center"/>
            </w:pPr>
            <w:r>
              <w:rPr>
                <w:b/>
                <w:color w:val="FFFFFF"/>
                <w:sz w:val="32"/>
              </w:rPr>
              <w:t>A</w:t>
            </w:r>
          </w:p>
        </w:tc>
        <w:tc>
          <w:tcPr>
            <w:tcW w:type="dxa" w:w="5227"/>
            <w:shd w:fill="F5F3EF"/>
            <w:tcMar>
              <w:top w:w="70" w:type="dxa"/>
              <w:start w:w="110" w:type="dxa"/>
              <w:bottom w:w="70" w:type="dxa"/>
              <w:end w:w="110" w:type="dxa"/>
            </w:tcMar>
          </w:tcPr>
          <w:p>
            <w:pPr>
              <w:spacing w:after="0"/>
            </w:pPr>
            <w:r>
              <w:rPr>
                <w:b/>
                <w:color w:val="50594A"/>
                <w:sz w:val="25"/>
              </w:rPr>
              <w:t>Activating Event</w:t>
            </w:r>
            <w:r>
              <w:rPr>
                <w:i/>
                <w:color w:val="333333"/>
                <w:sz w:val="21"/>
              </w:rPr>
              <w:t xml:space="preserve">  What happened?</w:t>
            </w:r>
          </w:p>
        </w:tc>
      </w:tr>
    </w:tbl>
    <w:p>
      <w:pPr>
        <w:spacing w:before="80" w:after="60"/>
      </w:pPr>
      <w:r>
        <w:t>Describe the situation as concretely as you can. Try to separate what you know happened from what you think it meant.</w:t>
      </w:r>
    </w:p>
    <w:p>
      <w:pPr>
        <w:spacing w:after="60"/>
        <w:ind w:left="288" w:right="288"/>
      </w:pPr>
      <w:r>
        <w:rPr>
          <w:b/>
          <w:color w:val="C78E74"/>
        </w:rPr>
        <w:t xml:space="preserve">Example: </w:t>
      </w:r>
      <w:r>
        <w:rPr>
          <w:i/>
        </w:rPr>
        <w:t>I sent someone a text this morning, and they haven’t responded.</w:t>
      </w:r>
    </w:p>
    <w:p>
      <w:pPr>
        <w:spacing w:after="140"/>
      </w:pPr>
      <w:r>
        <w:rPr>
          <w:b/>
          <w:color w:val="50594A"/>
        </w:rPr>
        <w:t xml:space="preserve">Ask yourself: </w:t>
      </w:r>
      <w:r>
        <w:t>What happened? What did I see or hear? Who was involved? What facts do I know?</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91"/>
        <w:gridCol w:w="9576"/>
      </w:tblGrid>
      <w:tr>
        <w:tc>
          <w:tcPr>
            <w:tcW w:type="dxa" w:w="5227"/>
            <w:shd w:fill="50594A"/>
            <w:tcMar>
              <w:top w:w="70" w:type="dxa"/>
              <w:start w:w="70" w:type="dxa"/>
              <w:bottom w:w="70" w:type="dxa"/>
              <w:end w:w="70" w:type="dxa"/>
            </w:tcMar>
          </w:tcPr>
          <w:p>
            <w:pPr>
              <w:jc w:val="center"/>
            </w:pPr>
            <w:r>
              <w:rPr>
                <w:b/>
                <w:color w:val="FFFFFF"/>
                <w:sz w:val="32"/>
              </w:rPr>
              <w:t>B</w:t>
            </w:r>
          </w:p>
        </w:tc>
        <w:tc>
          <w:tcPr>
            <w:tcW w:type="dxa" w:w="5227"/>
            <w:shd w:fill="F5F3EF"/>
            <w:tcMar>
              <w:top w:w="70" w:type="dxa"/>
              <w:start w:w="110" w:type="dxa"/>
              <w:bottom w:w="70" w:type="dxa"/>
              <w:end w:w="110" w:type="dxa"/>
            </w:tcMar>
          </w:tcPr>
          <w:p>
            <w:pPr>
              <w:spacing w:after="0"/>
            </w:pPr>
            <w:r>
              <w:rPr>
                <w:b/>
                <w:color w:val="50594A"/>
                <w:sz w:val="25"/>
              </w:rPr>
              <w:t>Beliefs and Thoughts</w:t>
            </w:r>
            <w:r>
              <w:rPr>
                <w:i/>
                <w:color w:val="333333"/>
                <w:sz w:val="21"/>
              </w:rPr>
              <w:t xml:space="preserve">  What did my mind tell me?</w:t>
            </w:r>
          </w:p>
        </w:tc>
      </w:tr>
    </w:tbl>
    <w:p>
      <w:pPr>
        <w:spacing w:before="80" w:after="60"/>
      </w:pPr>
      <w:r>
        <w:t>Our brains automatically try to make sense of situations, especially when something feels uncertain or threatening. Sometimes those interpretations are accurate. Sometimes anxiety fills in information we do not actually have.</w:t>
      </w:r>
    </w:p>
    <w:p>
      <w:pPr>
        <w:spacing w:after="60"/>
        <w:ind w:left="288" w:right="288"/>
      </w:pPr>
      <w:r>
        <w:rPr>
          <w:b/>
          <w:color w:val="C78E74"/>
        </w:rPr>
        <w:t xml:space="preserve">Example: </w:t>
      </w:r>
      <w:r>
        <w:rPr>
          <w:i/>
        </w:rPr>
        <w:t>They’re upset with me. I must have said something wrong. They’re ignoring me.</w:t>
      </w:r>
    </w:p>
    <w:p>
      <w:pPr>
        <w:spacing w:after="140"/>
      </w:pPr>
      <w:r>
        <w:rPr>
          <w:b/>
          <w:color w:val="50594A"/>
        </w:rPr>
        <w:t xml:space="preserve">Ask yourself: </w:t>
      </w:r>
      <w:r>
        <w:t>What went through my mind? What am I afraid this means? What am I predicting will happen? What am I assuming about myself, another person, or the situation?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91"/>
        <w:gridCol w:w="9576"/>
      </w:tblGrid>
      <w:tr>
        <w:tc>
          <w:tcPr>
            <w:tcW w:type="dxa" w:w="5227"/>
            <w:shd w:fill="50594A"/>
            <w:tcMar>
              <w:top w:w="70" w:type="dxa"/>
              <w:start w:w="70" w:type="dxa"/>
              <w:bottom w:w="70" w:type="dxa"/>
              <w:end w:w="70" w:type="dxa"/>
            </w:tcMar>
          </w:tcPr>
          <w:p>
            <w:pPr>
              <w:jc w:val="center"/>
            </w:pPr>
            <w:r>
              <w:rPr>
                <w:b/>
                <w:color w:val="FFFFFF"/>
                <w:sz w:val="32"/>
              </w:rPr>
              <w:t>C</w:t>
            </w:r>
          </w:p>
        </w:tc>
        <w:tc>
          <w:tcPr>
            <w:tcW w:type="dxa" w:w="5227"/>
            <w:shd w:fill="F5F3EF"/>
            <w:tcMar>
              <w:top w:w="70" w:type="dxa"/>
              <w:start w:w="110" w:type="dxa"/>
              <w:bottom w:w="70" w:type="dxa"/>
              <w:end w:w="110" w:type="dxa"/>
            </w:tcMar>
          </w:tcPr>
          <w:p>
            <w:pPr>
              <w:spacing w:after="0"/>
            </w:pPr>
            <w:r>
              <w:rPr>
                <w:b/>
                <w:color w:val="50594A"/>
                <w:sz w:val="25"/>
              </w:rPr>
              <w:t>Consequences</w:t>
            </w:r>
            <w:r>
              <w:rPr>
                <w:i/>
                <w:color w:val="333333"/>
                <w:sz w:val="21"/>
              </w:rPr>
              <w:t xml:space="preserve">  What happened next?</w:t>
            </w:r>
          </w:p>
        </w:tc>
      </w:tr>
    </w:tbl>
    <w:p>
      <w:pPr>
        <w:spacing w:before="80" w:after="60"/>
      </w:pPr>
      <w:r>
        <w:t>Thoughts and interpretations can affect emotions, physical sensations, and behavior.</w:t>
      </w:r>
    </w:p>
    <w:p>
      <w:pPr>
        <w:spacing w:after="60"/>
        <w:ind w:left="288" w:right="288"/>
      </w:pPr>
      <w:r>
        <w:rPr>
          <w:b/>
          <w:color w:val="C78E74"/>
        </w:rPr>
        <w:t xml:space="preserve">Example: </w:t>
      </w:r>
      <w:r>
        <w:rPr>
          <w:i/>
        </w:rPr>
        <w:t>Emotion: anxious, embarrassed, afraid  •  Body: tight chest, upset stomach, racing heart  •  Behavior: rereading the message, checking the phone, considering another text, difficulty concentrating</w:t>
      </w:r>
    </w:p>
    <w:p>
      <w:pPr>
        <w:spacing w:after="140"/>
      </w:pPr>
      <w:r>
        <w:rPr>
          <w:b/>
          <w:color w:val="50594A"/>
        </w:rPr>
        <w:t xml:space="preserve">Ask yourself: </w:t>
      </w:r>
      <w:r>
        <w:t>What emotions did I notice? What happened in my body? What did I feel an urge to do? What did I actually do?</w:t>
      </w:r>
    </w:p>
    <w:p>
      <w:pPr>
        <w:spacing w:before="60" w:after="40"/>
        <w:jc w:val="center"/>
      </w:pPr>
      <w:r>
        <w:rPr>
          <w:b/>
          <w:color w:val="C78E74"/>
          <w:sz w:val="24"/>
        </w:rPr>
        <w:t>Anxiety often wants certainty before certainty is available.</w:t>
      </w:r>
    </w:p>
    <w:p>
      <w:pPr>
        <w:spacing w:after="80"/>
        <w:jc w:val="center"/>
      </w:pPr>
      <w:r>
        <w:t>You do not have to convince yourself that your anxious thought is wrong. Instead, become curious about it.</w:t>
      </w:r>
    </w:p>
    <w:p>
      <w:pPr>
        <w:spacing w:after="20"/>
      </w:pPr>
      <w:r>
        <w:rPr>
          <w:b/>
          <w:color w:val="50594A"/>
          <w:sz w:val="18"/>
        </w:rPr>
        <w:t>• What evidence supports my interpretation?</w:t>
      </w:r>
    </w:p>
    <w:p>
      <w:pPr>
        <w:spacing w:after="20"/>
      </w:pPr>
      <w:r>
        <w:rPr>
          <w:b/>
          <w:color w:val="50594A"/>
          <w:sz w:val="18"/>
        </w:rPr>
        <w:t>• What evidence might not support it?</w:t>
      </w:r>
    </w:p>
    <w:p>
      <w:pPr>
        <w:spacing w:after="20"/>
      </w:pPr>
      <w:r>
        <w:rPr>
          <w:b/>
          <w:color w:val="50594A"/>
          <w:sz w:val="18"/>
        </w:rPr>
        <w:t>• Is there information I do not have yet?</w:t>
      </w:r>
    </w:p>
    <w:p>
      <w:pPr>
        <w:spacing w:after="20"/>
      </w:pPr>
      <w:r>
        <w:rPr>
          <w:b/>
          <w:color w:val="50594A"/>
          <w:sz w:val="18"/>
        </w:rPr>
        <w:t>• Are there other reasonable explanations for what happened?</w:t>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6"/>
        <w:gridCol w:w="8568"/>
      </w:tblGrid>
      <w:tr>
        <w:tc>
          <w:tcPr>
            <w:tcW w:type="dxa" w:w="1656"/>
            <w:tcMar>
              <w:top w:w="0" w:type="dxa"/>
              <w:start w:w="0" w:type="dxa"/>
              <w:bottom w:w="0" w:type="dxa"/>
              <w:end w:w="80" w:type="dxa"/>
            </w:tcMar>
          </w:tcPr>
          <w:p>
            <w:pPr>
              <w:jc w:val="center"/>
            </w:pPr>
            <w:r>
              <w:drawing>
                <wp:inline xmlns:a="http://schemas.openxmlformats.org/drawingml/2006/main" xmlns:pic="http://schemas.openxmlformats.org/drawingml/2006/picture">
                  <wp:extent cx="868680" cy="765494"/>
                  <wp:docPr id="2" name="Picture 2"/>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868680" cy="765494"/>
                          </a:xfrm>
                          <a:prstGeom prst="rect"/>
                        </pic:spPr>
                      </pic:pic>
                    </a:graphicData>
                  </a:graphic>
                </wp:inline>
              </w:drawing>
            </w:r>
          </w:p>
        </w:tc>
        <w:tc>
          <w:tcPr>
            <w:tcW w:type="dxa" w:w="8568"/>
            <w:tcMar>
              <w:top w:w="0" w:type="dxa"/>
              <w:start w:w="80" w:type="dxa"/>
              <w:bottom w:w="0" w:type="dxa"/>
              <w:end w:w="0" w:type="dxa"/>
            </w:tcMar>
          </w:tcPr>
          <w:p>
            <w:pPr>
              <w:spacing w:after="20"/>
              <w:jc w:val="left"/>
            </w:pPr>
            <w:r>
              <w:rPr>
                <w:b/>
                <w:color w:val="50594A"/>
                <w:sz w:val="26"/>
              </w:rPr>
              <w:t>CYNTHIA HAMILL, LPC-S</w:t>
            </w:r>
          </w:p>
          <w:p>
            <w:pPr>
              <w:spacing w:after="0"/>
            </w:pPr>
            <w:r>
              <w:rPr>
                <w:color w:val="333333"/>
                <w:sz w:val="17"/>
              </w:rPr>
              <w:t>Certified Clinical Trauma Professional (CCTP) • Autism Spectrum Disorder Clinical Specialist (ASDCS)</w:t>
            </w:r>
          </w:p>
          <w:p>
            <w:pPr>
              <w:spacing w:after="0"/>
            </w:pPr>
            <w:r>
              <w:rPr>
                <w:color w:val="333333"/>
                <w:sz w:val="17"/>
              </w:rPr>
              <w:t>Oklahoma Approved LPC Supervisor</w:t>
            </w:r>
          </w:p>
          <w:p>
            <w:pPr>
              <w:spacing w:after="0"/>
            </w:pPr>
            <w:r>
              <w:rPr>
                <w:color w:val="333333"/>
                <w:sz w:val="17"/>
              </w:rPr>
              <w:t>(539) 302-3946 • hamillcynthia2@gmail.com</w:t>
            </w:r>
          </w:p>
          <w:p>
            <w:pPr>
              <w:spacing w:after="0"/>
            </w:pPr>
            <w:hyperlink r:id="rId11">
              <w:r>
                <w:rPr>
                  <w:color w:val="C78E74"/>
                  <w:u w:val="single"/>
                  <w:sz w:val="18"/>
                </w:rPr>
                <w:t>cynthiahamillcounseling.com</w:t>
              </w:r>
            </w:hyperlink>
          </w:p>
        </w:tc>
      </w:tr>
    </w:tbl>
    <w:p>
      <w:pPr>
        <w:spacing w:before="20" w:after="100"/>
        <w:pBdr>
          <w:bottom w:val="single" w:sz="10" w:space="4" w:color="C78E74"/>
        </w:pBdr>
      </w:pPr>
    </w:p>
    <w:p>
      <w:pPr>
        <w:spacing w:after="40"/>
        <w:jc w:val="center"/>
      </w:pPr>
      <w:r>
        <w:rPr>
          <w:b/>
          <w:color w:val="50594A"/>
          <w:sz w:val="44"/>
        </w:rPr>
        <w:t>Your ABC Worksheet</w:t>
      </w:r>
    </w:p>
    <w:p>
      <w:pPr>
        <w:spacing w:after="160"/>
        <w:jc w:val="center"/>
      </w:pPr>
      <w:r>
        <w:rPr>
          <w:i/>
          <w:color w:val="C78E74"/>
          <w:sz w:val="22"/>
        </w:rPr>
        <w:t>Slow the cycle down and get curious about what your anxiety is telling you.</w:t>
      </w:r>
    </w:p>
    <w:p>
      <w:pPr>
        <w:spacing w:before="60" w:after="20"/>
      </w:pPr>
      <w:r>
        <w:rPr>
          <w:b/>
          <w:color w:val="50594A"/>
          <w:sz w:val="20"/>
        </w:rPr>
        <w:t>A — Activating Event: What happened?</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p>
      <w:pPr>
        <w:spacing w:before="60" w:after="20"/>
      </w:pPr>
      <w:r>
        <w:rPr>
          <w:b/>
          <w:color w:val="50594A"/>
          <w:sz w:val="20"/>
        </w:rPr>
        <w:t>B — Beliefs/Thoughts: What did I tell myself it meant?</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p>
      <w:pPr>
        <w:spacing w:before="60" w:after="20"/>
      </w:pPr>
      <w:r>
        <w:rPr>
          <w:b/>
          <w:color w:val="50594A"/>
          <w:sz w:val="20"/>
        </w:rPr>
        <w:t>C — Consequences: What did I feel emotionally and physically? What did I do or want to do?</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p>
      <w:pPr>
        <w:spacing w:before="80" w:after="60"/>
      </w:pPr>
      <w:r>
        <w:rPr>
          <w:b/>
          <w:color w:val="C78E74"/>
          <w:sz w:val="26"/>
        </w:rPr>
        <w:t>Now, slow the cycle down.</w:t>
      </w:r>
    </w:p>
    <w:p>
      <w:pPr>
        <w:spacing w:before="60" w:after="20"/>
      </w:pPr>
      <w:r>
        <w:rPr>
          <w:b/>
          <w:color w:val="50594A"/>
          <w:sz w:val="20"/>
        </w:rPr>
        <w:t>What evidence supports my interpretation? What evidence does not?</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p>
      <w:pPr>
        <w:spacing w:before="60" w:after="20"/>
      </w:pPr>
      <w:r>
        <w:rPr>
          <w:b/>
          <w:color w:val="50594A"/>
          <w:sz w:val="20"/>
        </w:rPr>
        <w:t>What else might be true? Is there information I do not have yet?</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p>
      <w:pPr>
        <w:spacing w:before="60" w:after="20"/>
      </w:pPr>
      <w:r>
        <w:rPr>
          <w:b/>
          <w:color w:val="50594A"/>
          <w:sz w:val="20"/>
        </w:rPr>
        <w:t>If someone I cared about were in this situation, what might I say to them?</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p>
      <w:pPr>
        <w:spacing w:before="80" w:after="40"/>
      </w:pPr>
      <w:r>
        <w:rPr>
          <w:b/>
          <w:color w:val="50594A"/>
          <w:sz w:val="26"/>
        </w:rPr>
        <w:t>A More Balanced Response</w:t>
      </w:r>
    </w:p>
    <w:p>
      <w:pPr>
        <w:spacing w:after="60"/>
      </w:pPr>
      <w:r>
        <w:t>A balanced thought does not have to be cheerful. It simply takes into account more of the available information.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800"/>
        <w:gridCol w:w="8280"/>
      </w:tblGrid>
      <w:tr>
        <w:tc>
          <w:tcPr>
            <w:tcW w:type="dxa" w:w="5227"/>
            <w:tcMar>
              <w:top w:w="70" w:type="dxa"/>
              <w:start w:w="80" w:type="dxa"/>
              <w:bottom w:w="70" w:type="dxa"/>
              <w:end w:w="80" w:type="dxa"/>
            </w:tcMar>
            <w:shd w:fill="E7E4DE"/>
          </w:tcPr>
          <w:p>
            <w:r>
              <w:rPr>
                <w:b/>
                <w:color w:val="50594A"/>
              </w:rPr>
              <w:t>Instead of</w:t>
            </w:r>
          </w:p>
        </w:tc>
        <w:tc>
          <w:tcPr>
            <w:tcW w:type="dxa" w:w="5227"/>
            <w:tcMar>
              <w:top w:w="70" w:type="dxa"/>
              <w:start w:w="100" w:type="dxa"/>
              <w:bottom w:w="70" w:type="dxa"/>
              <w:end w:w="100" w:type="dxa"/>
            </w:tcMar>
            <w:shd w:fill="F5F3EF"/>
          </w:tcPr>
          <w:p>
            <w:r>
              <w:rPr>
                <w:i/>
              </w:rPr>
              <w:t>“They’re ignoring me because they’re angry with me.”</w:t>
            </w:r>
          </w:p>
        </w:tc>
      </w:tr>
      <w:tr>
        <w:tc>
          <w:tcPr>
            <w:tcW w:type="dxa" w:w="5227"/>
            <w:tcMar>
              <w:top w:w="70" w:type="dxa"/>
              <w:start w:w="80" w:type="dxa"/>
              <w:bottom w:w="70" w:type="dxa"/>
              <w:end w:w="80" w:type="dxa"/>
            </w:tcMar>
            <w:shd w:fill="E7E4DE"/>
          </w:tcPr>
          <w:p>
            <w:r>
              <w:rPr>
                <w:b/>
                <w:color w:val="50594A"/>
              </w:rPr>
              <w:t>Try</w:t>
            </w:r>
          </w:p>
        </w:tc>
        <w:tc>
          <w:tcPr>
            <w:tcW w:type="dxa" w:w="5227"/>
            <w:tcMar>
              <w:top w:w="70" w:type="dxa"/>
              <w:start w:w="100" w:type="dxa"/>
              <w:bottom w:w="70" w:type="dxa"/>
              <w:end w:w="100" w:type="dxa"/>
            </w:tcMar>
            <w:shd w:fill="F5F3EF"/>
          </w:tcPr>
          <w:p>
            <w:r>
              <w:rPr>
                <w:i/>
              </w:rPr>
              <w:t>“I don’t know why they haven’t responded. They could be busy, they may not have seen the message, or they could be upset. I don’t have enough information yet to know.”</w:t>
            </w:r>
          </w:p>
        </w:tc>
      </w:tr>
    </w:tbl>
    <w:p>
      <w:pPr>
        <w:spacing w:before="60" w:after="20"/>
      </w:pPr>
      <w:r>
        <w:rPr>
          <w:b/>
          <w:color w:val="50594A"/>
          <w:sz w:val="20"/>
        </w:rPr>
        <w:t>What is a more balanced way of understanding my situation?</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p>
      <w:pPr>
        <w:spacing w:before="60" w:after="20"/>
      </w:pPr>
      <w:r>
        <w:rPr>
          <w:b/>
          <w:color w:val="50594A"/>
          <w:sz w:val="20"/>
        </w:rPr>
        <w:t>What would I like to do next?</w:t>
      </w:r>
    </w:p>
    <w:p>
      <w:pPr>
        <w:spacing w:after="40" w:line="240" w:lineRule="auto"/>
      </w:pPr>
      <w:r>
        <w:rPr>
          <w:color w:val="A0A0A0"/>
          <w:sz w:val="16"/>
        </w:rPr>
        <w:t>________________________________________________________________________________</w:t>
      </w:r>
    </w:p>
    <w:p>
      <w:pPr>
        <w:spacing w:after="40" w:line="240" w:lineRule="auto"/>
      </w:pPr>
      <w:r>
        <w:rPr>
          <w:color w:val="A0A0A0"/>
          <w:sz w:val="16"/>
        </w:rPr>
        <w:t>________________________________________________________________________________</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F5F3EF"/>
            <w:tcMar>
              <w:top w:w="100" w:type="dxa"/>
              <w:start w:w="130" w:type="dxa"/>
              <w:bottom w:w="100" w:type="dxa"/>
              <w:end w:w="130" w:type="dxa"/>
            </w:tcMar>
          </w:tcPr>
          <w:p>
            <w:pPr>
              <w:jc w:val="center"/>
            </w:pPr>
            <w:r>
              <w:rPr>
                <w:b/>
                <w:color w:val="C78E74"/>
              </w:rPr>
              <w:t xml:space="preserve">A useful reminder: </w:t>
            </w:r>
            <w:r>
              <w:t>“This is what my anxiety is telling me. I do not know yet whether it is true.”</w:t>
            </w:r>
          </w:p>
        </w:tc>
      </w:tr>
    </w:tbl>
    <w:p>
      <w:pPr>
        <w:spacing w:before="60" w:after="0"/>
      </w:pPr>
      <w:r>
        <w:rPr>
          <w:b/>
          <w:color w:val="50594A"/>
          <w:sz w:val="17"/>
        </w:rPr>
        <w:t>Evidence base</w:t>
      </w:r>
    </w:p>
    <w:p>
      <w:pPr>
        <w:spacing w:after="0"/>
        <w:ind w:left="259" w:hanging="259"/>
      </w:pPr>
      <w:r>
        <w:rPr>
          <w:color w:val="666666"/>
          <w:sz w:val="13"/>
        </w:rPr>
        <w:t>Kaczkurkin, A. N., &amp; Foa, E. B. (2015). Cognitive-behavioral therapy for anxiety disorders: An update on the empirical evidence. Dialogues in Clinical Neuroscience, 17(3), 337–346. https://doi.org/10.31887/DCNS.2015.17.3/akaczkurkin</w:t>
      </w:r>
    </w:p>
    <w:p>
      <w:pPr>
        <w:spacing w:after="0"/>
        <w:ind w:left="259" w:hanging="259"/>
      </w:pPr>
      <w:r>
        <w:rPr>
          <w:color w:val="666666"/>
          <w:sz w:val="13"/>
        </w:rPr>
        <w:t>van Dis, E. A. M., et al. (2020). Long-term outcomes of cognitive behavioral therapy for anxiety-related disorders: A systematic review and meta-analysis. JAMA Psychiatry, 77(3), 265–273. https://doi.org/10.1001/jamapsychiatry.2019.3986</w:t>
      </w:r>
    </w:p>
    <w:p>
      <w:pPr>
        <w:spacing w:before="40" w:after="0"/>
        <w:jc w:val="center"/>
      </w:pPr>
      <w:r>
        <w:rPr>
          <w:i/>
          <w:color w:val="666666"/>
          <w:sz w:val="14"/>
        </w:rPr>
        <w:t>This handout is provided for educational purposes and is not a substitute for individualized mental health or medical care.</w:t>
      </w:r>
    </w:p>
    <w:sectPr w:rsidR="00FC693F" w:rsidRPr="0006063C" w:rsidSect="00034616">
      <w:footerReference w:type="default" r:id="rId9"/>
      <w:pgSz w:w="12240" w:h="15840"/>
      <w:pgMar w:top="691"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0594A"/>
        <w:sz w:val="16"/>
      </w:rPr>
      <w:t>Free educational resource from Cynthia Hamill Counseling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Aptos" w:hAnsi="Aptos"/>
      <w:color w:val="3333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cynthiahamillcounsel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